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9F5BF2" w:rsidRDefault="001F281F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SAYULA</w:t>
            </w:r>
          </w:p>
          <w:p w:rsidR="00245F49" w:rsidRPr="004A7026" w:rsidRDefault="00245F49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6628DA" w:rsidRDefault="00245F49" w:rsidP="00662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 xml:space="preserve"> DE GESTIÓN ADMINISTRATIVA</w:t>
            </w:r>
          </w:p>
          <w:p w:rsidR="00A45E83" w:rsidRPr="00EF11D0" w:rsidRDefault="001F281F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2020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1F281F" w:rsidRDefault="001F281F" w:rsidP="001F2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b/>
                <w:bCs/>
                <w:lang w:eastAsia="es-MX"/>
              </w:rPr>
              <w:t>NOTAS A LOS ESTADOS FINANCIEROS DE GESTIÓN ADMINISTRATIVA.</w:t>
            </w:r>
          </w:p>
          <w:p w:rsidR="001F281F" w:rsidRDefault="001F281F" w:rsidP="001F281F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1.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Introducción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Con el propósito de proporcionar información económico-financiera basada en la elaboración y presentación de los estados financieros que se presentan de manera clara y oportuna; los cuales se realizan con apego a las disposiciones legales, tales como la ley de contabilidad gubernamental y las normas que emite el CONAC; para informar a los interesados sobre las finanzas del municipio de Sayula, Jalisco.</w:t>
            </w:r>
          </w:p>
          <w:p w:rsidR="001F281F" w:rsidRDefault="001F281F" w:rsidP="001F281F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2.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Panorama Económico y Financiero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En su mayoría el techo financiero que tiene el municipio, depende de las participaciones federales y estatales ya que estas ascienden a casi un 80 por ciento de total de los ingresos anuales que se generan en el municipio y dependemos de la asignación de estas para llevar a cabo obras y acciones que se planeen durante el ejercicio. </w:t>
            </w:r>
          </w:p>
          <w:p w:rsidR="001F281F" w:rsidRDefault="001F281F" w:rsidP="001F281F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3.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Autorización e Historia</w:t>
            </w:r>
          </w:p>
          <w:p w:rsidR="001F281F" w:rsidRDefault="001F281F" w:rsidP="001F28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En 1824, por decreto del 27 de marzo, Sayula se convierte en cabecera de uno de los 26 departamentos en que se dividió el estado de Jalisco.</w:t>
            </w:r>
          </w:p>
          <w:p w:rsidR="001F281F" w:rsidRDefault="001F281F" w:rsidP="001F28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En esa misma disposición se le otorgó a Sayula el título de ciudad.</w:t>
            </w:r>
          </w:p>
          <w:p w:rsidR="001F281F" w:rsidRDefault="001F281F" w:rsidP="001F28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Se constituyó como persona moral sin fines lucrativos el primero de enero de 1985 para efectos fiscales ante la Secretaria de hacienda y Crédito Público.</w:t>
            </w:r>
          </w:p>
          <w:p w:rsidR="001F281F" w:rsidRDefault="001F281F" w:rsidP="001F28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Actualmente se constituye con treinta y cuatro departamentos y en su mayoría se aplican medios tecnológicos para el buen servicio y atención a la población.</w:t>
            </w:r>
          </w:p>
          <w:p w:rsidR="001F281F" w:rsidRDefault="001F281F" w:rsidP="001F28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444444"/>
                <w:sz w:val="30"/>
                <w:szCs w:val="30"/>
                <w:lang w:val="es-ES" w:eastAsia="es-MX"/>
              </w:rPr>
            </w:pPr>
          </w:p>
          <w:p w:rsidR="001F281F" w:rsidRDefault="001F281F" w:rsidP="001F281F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4.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Organización y Objeto Social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a)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Objeto social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Facilitar a los ciudadanos los servicios que se brindan en el ente para su bienestar; así mismo el buen manejo de los recursos recaudados por los servicios que se brindan a la ciudadanía.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 xml:space="preserve">b)        Principal actividad: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Prestar Servicios Públicos a la población de conformidad con las leyes y reglamentos que facultan al ente para llevar a cabo sus actividades.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Agua potable, drenaje y alcantarillado.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Alumbrado público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Limpia, recolección, traslado, tratamiento y disposición final de residuos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Mercados y comercio sabatino.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Panteones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Rastro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Calles, parques y jardines.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Seguridad pública.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Tránsito y Vialidad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Educación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Bibliotecas públicas y Casas de la Cultura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Protección civil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Desarrollo urbano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Juzgado municipal.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Servicios médicos municipales.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Centros Deportivos, ecología, etc.  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c)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Ejercicio fiscal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Enero a Diciembre del año 2020.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d)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Régimen jurídico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Persona Moral Sin Fines de Lucro. Así mismo es un ente de orden público, territorial y de la organización política y administrativa del Estado de Jalisco, con personalidad jurídica y patrimonio propio, autónomo en su Gobierno Interior y con libre administración de su Hacienda, de acuerdo a las leyes y reglamentos que lo rigen.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e)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 xml:space="preserve">Consideraciones fiscales del ente: revelar el tipo de contribuciones que esté obligado a pagar o retener: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Entero del impuesto mensual de la retención de ISR por concepto de sueldos y salarios, asimilados a salarios y prestación de servicios profesionales.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 xml:space="preserve"> 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f)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Estructura organizacional básica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lang w:val="es-ES" w:eastAsia="es-MX"/>
              </w:rPr>
            </w:pPr>
          </w:p>
          <w:p w:rsidR="001F281F" w:rsidRDefault="001F281F" w:rsidP="001F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lang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5641975" cy="3423920"/>
                  <wp:effectExtent l="0" t="0" r="0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975" cy="342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MX"/>
              </w:rPr>
            </w:pPr>
          </w:p>
          <w:p w:rsidR="001F281F" w:rsidRDefault="001F281F" w:rsidP="001F2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" w:eastAsia="es-MX"/>
              </w:rPr>
            </w:pP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g)   Fideicomisos, mandatos y análogos de los cuales es fideicomitente o fideicomisario.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 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No se ejerció el fideicomiso para obras públicas durante el ejercicio 2020.</w:t>
            </w:r>
          </w:p>
          <w:p w:rsidR="001F281F" w:rsidRDefault="001F281F" w:rsidP="001F281F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5.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Bases de Preparación de los Estados Financieros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Se informará sobre: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a)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 xml:space="preserve">Si se ha </w:t>
            </w:r>
            <w:r>
              <w:rPr>
                <w:rFonts w:ascii="Arial" w:hAnsi="Arial" w:cs="Arial"/>
                <w:b/>
                <w:bCs/>
                <w:u w:val="single"/>
                <w:lang w:val="es-ES" w:eastAsia="es-MX"/>
              </w:rPr>
              <w:t xml:space="preserve">observado la normatividad emitida por el CONAC 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>y las disposiciones legales aplicables.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Se ha observado la normatividad del CONAC y la ley de contabilidad gubernamental, así como las leyes municipales y las del estado de Jalisco.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b)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Se reconocen en base al costo histórico.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c)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 xml:space="preserve">Postulados básicos. 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Los emitidos por el CONAC en los que resulte aplicables.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d)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</w:r>
            <w:r>
              <w:rPr>
                <w:rFonts w:ascii="Arial" w:hAnsi="Arial" w:cs="Arial"/>
                <w:b/>
                <w:bCs/>
                <w:u w:val="single"/>
                <w:lang w:val="es-ES" w:eastAsia="es-MX"/>
              </w:rPr>
              <w:t xml:space="preserve">Normatividad supletoria. 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>En caso de emplear varios grupos de normatividades (normatividades supletorias), deberá realizar la justificación razonable correspondiente.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Solo las permitidas por el CONAC; como son: catalogo por objeto del gasto y catalogo por rubro de ingresos, así como el plan de cuentas.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e)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 xml:space="preserve">Para las entidades que por </w:t>
            </w:r>
            <w:r>
              <w:rPr>
                <w:rFonts w:ascii="Arial" w:hAnsi="Arial" w:cs="Arial"/>
                <w:b/>
                <w:bCs/>
                <w:u w:val="single"/>
                <w:lang w:val="es-ES" w:eastAsia="es-MX"/>
              </w:rPr>
              <w:t xml:space="preserve">primera vez 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>estén implementando la base devengada de acuerdo a la Ley de Contabilidad, deberán: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No</w:t>
            </w:r>
            <w:r>
              <w:rPr>
                <w:rFonts w:ascii="Arial" w:hAnsi="Arial" w:cs="Arial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aplica, así mismo para los apartados a, b, c, y d que a continuación se enumeran.</w:t>
            </w:r>
          </w:p>
          <w:p w:rsidR="001F281F" w:rsidRDefault="001F281F" w:rsidP="001F2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left="144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a)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Revelar las nuevas políticas de reconocimiento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 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spacing w:after="0"/>
              <w:ind w:left="144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b)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Su plan de implementación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 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spacing w:after="0"/>
              <w:ind w:left="144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c)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Revelar los cambios en las políticas, la clasificación y medición de las mismas, así como su impacto en la información financiera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spacing w:after="0"/>
              <w:ind w:left="144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d)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Presentar los últimos estados financieros con la normatividad anteriormente utilizada con las nuevas políticas para fines de comparación en la transición a la base devengado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 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eastAsia="es-MX"/>
              </w:rPr>
            </w:pPr>
          </w:p>
          <w:p w:rsidR="001F281F" w:rsidRDefault="001F281F" w:rsidP="001F281F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6.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Políticas de Contabilidad Significativas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a)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 xml:space="preserve">Actualización: se informará del </w:t>
            </w:r>
            <w:r>
              <w:rPr>
                <w:rFonts w:ascii="Arial" w:hAnsi="Arial" w:cs="Arial"/>
                <w:b/>
                <w:bCs/>
                <w:u w:val="single"/>
                <w:lang w:val="es-ES" w:eastAsia="es-MX"/>
              </w:rPr>
              <w:t>método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 xml:space="preserve"> utilizado para la </w:t>
            </w:r>
            <w:r>
              <w:rPr>
                <w:rFonts w:ascii="Arial" w:hAnsi="Arial" w:cs="Arial"/>
                <w:b/>
                <w:bCs/>
                <w:u w:val="single"/>
                <w:lang w:val="es-ES" w:eastAsia="es-MX"/>
              </w:rPr>
              <w:t>actualización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 xml:space="preserve"> del valor de los activos, pasivos y Hacienda Pública y/o patrimonio y las razones de dicha elección. Así como informar de la desconexión o reconexión inflacionaria.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Desde la iniciación y hasta la actualidad de esta entidad, no se ha registrado ningún método de actualización del valor de los Activos, Pasivos y Hacienda Pública y/o Patrimonio.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b)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 xml:space="preserve">Informar sobre la realización de </w:t>
            </w:r>
            <w:r>
              <w:rPr>
                <w:rFonts w:ascii="Arial" w:hAnsi="Arial" w:cs="Arial"/>
                <w:b/>
                <w:bCs/>
                <w:u w:val="single"/>
                <w:lang w:val="es-ES" w:eastAsia="es-MX"/>
              </w:rPr>
              <w:t>operaciones en el extranjero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 xml:space="preserve"> y de sus efectos en la información financiera gubernamental.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No se realizan operaciones en el extranjero.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c)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Método de valuación de la inversión en acciones en el Sector Paraestatal.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No se tiene inversiones de acciones en ninguna otra entidad.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d)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Sistema y método de valuación de inventarios y costo de lo vendido</w:t>
            </w:r>
            <w:r>
              <w:rPr>
                <w:rFonts w:ascii="Arial" w:hAnsi="Arial" w:cs="Arial"/>
                <w:b/>
                <w:bCs/>
                <w:lang w:eastAsia="es-MX"/>
              </w:rPr>
              <w:t>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No se manejan inventarios de productos ya que la adquisición de materiales y suministros es para consumo inmediato y se refleja directamente en el gasto.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e)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 xml:space="preserve">Beneficios a empleados: revelar el cálculo de </w:t>
            </w:r>
            <w:r>
              <w:rPr>
                <w:rFonts w:ascii="Arial" w:hAnsi="Arial" w:cs="Arial"/>
                <w:b/>
                <w:bCs/>
                <w:u w:val="single"/>
                <w:lang w:val="es-ES" w:eastAsia="es-MX"/>
              </w:rPr>
              <w:t>la reserva actuarial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>, valor presente de los ingresos esperados comparado con el valor presente de la estimación de gastos tanto de los beneficiarios actuales como futuros.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 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No se manejan reservas para otorgar algún beneficio para los empleados; simplemente lo que se encuentra en el presupuesto de egresos del ejercicio</w:t>
            </w:r>
            <w:r>
              <w:rPr>
                <w:rFonts w:ascii="Arial" w:hAnsi="Arial" w:cs="Arial"/>
                <w:b/>
                <w:bCs/>
                <w:lang w:eastAsia="es-MX"/>
              </w:rPr>
              <w:t>.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f)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Provisiones: objetivo de su creación, monto y plazo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Solo se provisiona la porción de la deuda pública y la retención por sueldos y salarios, el pago de estos conceptos es mensual. 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g)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Reservas: objetivo de su creación, monto y plazo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No se cuenta con reservas.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h)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Cambios en políticas contables y corrección de errores junto con la revelación de los efectos que se tendrá en la información financiera del ente público, ya sea retrospectivos o prospectivos.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El cambio en las políticas contables se ve reflejado por los reintegros de obras públicas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i)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Reclasificaciones: Se deben revelar todos aquellos movimientos entre cuentas por efectos de cambios en los tipos de operaciones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No existen reclasificaciones.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j)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Depuración y cancelación de saldos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No se han depurado y cancelado saldos de relevancia</w:t>
            </w:r>
            <w:r>
              <w:rPr>
                <w:rFonts w:ascii="Arial" w:hAnsi="Arial" w:cs="Arial"/>
                <w:lang w:val="es-ES" w:eastAsia="es-MX"/>
              </w:rPr>
              <w:t>.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 xml:space="preserve"> </w:t>
            </w:r>
          </w:p>
          <w:p w:rsidR="001F281F" w:rsidRDefault="001F281F" w:rsidP="001F281F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7.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Posición en Moneda Extranjera y Protección por Riesgo Cambiario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No se tienen manejos y registros de activos, pasivos, posición monetario y tipo de cambio en moneda extranjera del ente público. </w:t>
            </w:r>
          </w:p>
          <w:p w:rsidR="001F281F" w:rsidRDefault="001F281F" w:rsidP="001F281F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8.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Reporte Analítico del Activo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ind w:left="1410" w:hanging="69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a)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Inversiones en valores.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 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No se cuenta con inversiones en valores.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ind w:left="1410" w:hanging="69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b)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Patrimonio de organismos descentralizados.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 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Se cuenta con patrimonio de organismos descentralizados, vehículos en comodato y equipos para oficina</w:t>
            </w:r>
            <w:r>
              <w:rPr>
                <w:rFonts w:ascii="Arial" w:hAnsi="Arial" w:cs="Arial"/>
                <w:b/>
                <w:bCs/>
                <w:lang w:eastAsia="es-MX"/>
              </w:rPr>
              <w:t>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ind w:left="1410" w:hanging="69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c)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Inversiones en empresas de participación mayoritaria.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 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No se cuenta con inversiones en empresas de participación mayoritaria.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d)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 xml:space="preserve">Inversiones en empresas de participación minoritaria 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No se cuenta con inversiones en empresas de participación minoritaria.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8.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Fideicomisos, Mandatos y Análogos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Fideicomiso para el manejo de los recursos para obra pública del programa FAIS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9.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Reporte de la Recaudación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Los recursos obtenidos durante el año superaron a los establecidos en la ley de ingresos anual, tales como la recaudación del impuesto predial, servicio de agua potable, de los puestos ambulantes, licencias municipales, rastro y de los actos del registro civil; aunque la mayor parte de los ingresos obtenidos durante el año son por las participaciones federales y estatales.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10.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 xml:space="preserve">Información sobre la Deuda y el Reporte Analítico de la Deuda 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Hasta el día 31 de diciembre del año 2019 se tiene un saldo de $23´880,531.42 más intereses por el refinanciamiento de la deuda contraída en el año 2011; para la construcción de un centro comercial (tianguis); y un crédito por $17´000,000 del cual existe un saldo de $15,779,920.69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11.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Calificaciones otorgadas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No se cuenta con calificaciones otorgadas.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12.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Proceso de Mejora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ind w:left="2490" w:hanging="690"/>
              <w:rPr>
                <w:rFonts w:ascii="Arial" w:hAnsi="Arial" w:cs="Arial"/>
                <w:b/>
                <w:bCs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a)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 xml:space="preserve">Principales Políticas de </w:t>
            </w:r>
            <w:r>
              <w:rPr>
                <w:rFonts w:ascii="Arial" w:hAnsi="Arial" w:cs="Arial"/>
                <w:b/>
                <w:bCs/>
                <w:u w:val="single"/>
                <w:lang w:val="es-ES" w:eastAsia="es-MX"/>
              </w:rPr>
              <w:t>control interno</w:t>
            </w:r>
            <w:r>
              <w:rPr>
                <w:rFonts w:ascii="Arial" w:hAnsi="Arial" w:cs="Arial"/>
                <w:b/>
                <w:bCs/>
                <w:u w:val="single"/>
                <w:lang w:eastAsia="es-MX"/>
              </w:rPr>
              <w:t xml:space="preserve"> 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Apego al presupuesto de egresos con racionalidad y transparencia.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ind w:left="2490" w:hanging="690"/>
              <w:rPr>
                <w:rFonts w:ascii="Arial" w:hAnsi="Arial" w:cs="Arial"/>
                <w:b/>
                <w:bCs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b)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 xml:space="preserve">Medidas de </w:t>
            </w:r>
            <w:r>
              <w:rPr>
                <w:rFonts w:ascii="Arial" w:hAnsi="Arial" w:cs="Arial"/>
                <w:b/>
                <w:bCs/>
                <w:u w:val="single"/>
                <w:lang w:val="es-ES" w:eastAsia="es-MX"/>
              </w:rPr>
              <w:t>desempeño financiero, metas y alcance.</w:t>
            </w:r>
            <w:r>
              <w:rPr>
                <w:rFonts w:ascii="Arial" w:hAnsi="Arial" w:cs="Arial"/>
                <w:b/>
                <w:bCs/>
                <w:u w:val="single"/>
                <w:lang w:eastAsia="es-MX"/>
              </w:rPr>
              <w:t xml:space="preserve"> 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Administrar de la mejor manera posible los ingresos obtenidos durante el año, mismos que deberán de ejercerse siempre en mejora del ente; para así poder alcanzar las metas programadas en el ejercicio.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13.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 xml:space="preserve">Información por Segmentos 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Cada departamento o unidad responsable cuenta con un presupuesto anual para poder realizar y desempeñar sus funciones propias.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14.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 xml:space="preserve">Eventos Posteriores al Cierre 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No se tienen hechos ocurridos en el período posterior al que se informa.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15.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 xml:space="preserve">Partes Relacionadas 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En el ente público no se cuenta con partes relacionadas. </w:t>
            </w:r>
          </w:p>
          <w:p w:rsidR="001F281F" w:rsidRDefault="001F281F" w:rsidP="001F281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16.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 xml:space="preserve">Responsabilidad Sobre la Presentación Razonable de los Estados Financieros 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Los Estados Financieros están firmados en cada página de los mismos y al final con la siguiente leyenda: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MX"/>
              </w:rPr>
              <w:t>“Bajo protesta de decir verdad declaramos que los Estados Financieros y sus notas, son razonablemente correctos y son responsabilidad del emisor”.</w:t>
            </w:r>
          </w:p>
          <w:p w:rsidR="001F281F" w:rsidRDefault="001F281F" w:rsidP="001F281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s-MX"/>
              </w:rPr>
            </w:pPr>
          </w:p>
          <w:p w:rsidR="001F281F" w:rsidRDefault="001F281F" w:rsidP="001F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8E706B" w:rsidRDefault="008E706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0"/>
        <w:gridCol w:w="1257"/>
        <w:gridCol w:w="3841"/>
      </w:tblGrid>
      <w:tr w:rsidR="0009560A" w:rsidRPr="001F0913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6AE36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B2527D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9560A" w:rsidRPr="001F0913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9560A" w:rsidRPr="00AA3238" w:rsidRDefault="001F281F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LIC. OSCAR DANIEL CARRION CALVARIO</w:t>
            </w:r>
          </w:p>
          <w:p w:rsidR="0009560A" w:rsidRPr="00AA3238" w:rsidRDefault="001F281F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9560A" w:rsidRPr="00AA3238" w:rsidRDefault="001F281F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MTRO. JOSE LUIS JIMENEZ DIAZ</w:t>
            </w:r>
          </w:p>
          <w:p w:rsidR="0009560A" w:rsidRPr="00AA3238" w:rsidRDefault="001F281F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FUNC. ENC. DE HACIENDA MUNICIPAL</w:t>
            </w:r>
          </w:p>
        </w:tc>
      </w:tr>
    </w:tbl>
    <w:p w:rsidR="0009560A" w:rsidRPr="00721735" w:rsidRDefault="001F281F" w:rsidP="00DC7A0D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ASEJ2020-13-30-04-2021-1</w:t>
      </w:r>
    </w:p>
    <w:p w:rsidR="008E706B" w:rsidRDefault="008E706B">
      <w:pPr>
        <w:rPr>
          <w:rFonts w:ascii="Arial" w:hAnsi="Arial" w:cs="Arial"/>
        </w:rPr>
      </w:pPr>
    </w:p>
    <w:p w:rsidR="008E706B" w:rsidRPr="00B157EC" w:rsidRDefault="008E706B" w:rsidP="008E706B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8E706B" w:rsidRPr="007326BD" w:rsidRDefault="008E706B">
      <w:pPr>
        <w:rPr>
          <w:rFonts w:ascii="Arial" w:hAnsi="Arial" w:cs="Arial"/>
        </w:rPr>
      </w:pPr>
    </w:p>
    <w:sectPr w:rsidR="008E706B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9560A"/>
    <w:rsid w:val="001F281F"/>
    <w:rsid w:val="00245F49"/>
    <w:rsid w:val="0040191D"/>
    <w:rsid w:val="004D1A2A"/>
    <w:rsid w:val="006628DA"/>
    <w:rsid w:val="007326BD"/>
    <w:rsid w:val="00806603"/>
    <w:rsid w:val="008A5017"/>
    <w:rsid w:val="008E706B"/>
    <w:rsid w:val="00983255"/>
    <w:rsid w:val="009F5BF2"/>
    <w:rsid w:val="00A45336"/>
    <w:rsid w:val="00A45E83"/>
    <w:rsid w:val="00AA3238"/>
    <w:rsid w:val="00DC7A0D"/>
    <w:rsid w:val="00E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34C81-568D-4649-840E-C369D58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Janeth López</cp:lastModifiedBy>
  <cp:revision>6</cp:revision>
  <dcterms:created xsi:type="dcterms:W3CDTF">2020-05-27T16:04:00Z</dcterms:created>
  <dcterms:modified xsi:type="dcterms:W3CDTF">2021-04-30T16:03:00Z</dcterms:modified>
</cp:coreProperties>
</file>